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A20C" w14:textId="77777777" w:rsidR="00E338FD" w:rsidRDefault="00933C7A" w:rsidP="00E338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Предложения и замечания к проекту Положения:</w:t>
      </w:r>
      <w:r w:rsidR="00E338FD" w:rsidRPr="00E338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B" w14:textId="21F3E47F" w:rsidR="00C228ED" w:rsidRDefault="00E338FD" w:rsidP="00E338F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 порядке выдачи мэрией города Ош жилья на ипотечных условиях»</w:t>
      </w:r>
    </w:p>
    <w:p w14:paraId="543F7838" w14:textId="77777777" w:rsidR="00E338FD" w:rsidRDefault="00E338F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9CBF26B" w:rsidR="00C228ED" w:rsidRDefault="00933C7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Обсудив содержания и нормы проекта Положения об ипотечной программе мэрии города Ош, </w:t>
      </w:r>
      <w:r w:rsidR="00E3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независимые юристы г. ОШ и </w:t>
      </w:r>
      <w:proofErr w:type="spellStart"/>
      <w:r w:rsidR="00E338FD">
        <w:rPr>
          <w:rFonts w:ascii="Times New Roman" w:eastAsia="Times New Roman" w:hAnsi="Times New Roman" w:cs="Times New Roman"/>
          <w:color w:val="000000"/>
          <w:sz w:val="24"/>
          <w:szCs w:val="24"/>
        </w:rPr>
        <w:t>Ошский</w:t>
      </w:r>
      <w:proofErr w:type="spellEnd"/>
      <w:r w:rsidR="00E3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 ОО «МЦ </w:t>
      </w:r>
      <w:proofErr w:type="spellStart"/>
      <w:r w:rsidR="00E338F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Интербилим</w:t>
      </w:r>
      <w:proofErr w:type="spellEnd"/>
      <w:r w:rsidR="00E3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пришли к 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заключениям</w:t>
      </w:r>
      <w:r w:rsidR="00A22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рекомендациям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0D" w14:textId="77777777" w:rsidR="00C228ED" w:rsidRDefault="00C228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0E" w14:textId="77777777" w:rsidR="00C228ED" w:rsidRDefault="00933C7A">
      <w:pPr>
        <w:numPr>
          <w:ilvl w:val="0"/>
          <w:numId w:val="2"/>
        </w:numPr>
        <w:tabs>
          <w:tab w:val="left" w:pos="1119"/>
        </w:tabs>
        <w:spacing w:before="240" w:after="24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45 Закона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«О залоге» органы местного самоуправления в пределах собственных бюджетов могут создавать специальные органы по поддержке и развитию системы ипотечного кредитования в данном регионе. Деятельность та</w:t>
      </w:r>
      <w:r>
        <w:rPr>
          <w:rFonts w:ascii="Times New Roman" w:eastAsia="Times New Roman" w:hAnsi="Times New Roman" w:cs="Times New Roman"/>
          <w:sz w:val="24"/>
          <w:szCs w:val="24"/>
        </w:rPr>
        <w:t>ких органов осуществляется с учетом особенностей, определенных настоящим Законом. Рекомендуется привести нормы проекта положения в соответствии данному законодательству;</w:t>
      </w:r>
    </w:p>
    <w:p w14:paraId="7AF8B56C" w14:textId="5CBDE829" w:rsidR="00A22DA3" w:rsidRDefault="00A22DA3" w:rsidP="00A22DA3">
      <w:pPr>
        <w:numPr>
          <w:ilvl w:val="0"/>
          <w:numId w:val="3"/>
        </w:numPr>
        <w:tabs>
          <w:tab w:val="left" w:pos="1119"/>
        </w:tabs>
        <w:spacing w:before="240" w:after="24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пункте 5.9. предлагается вести учет граждан по отдельным спискам (вне очереди, в первую очередь, по очереди), однако не указаны по каким критериям будут распределяться и включаться в эти списки граждане</w:t>
      </w:r>
      <w:r>
        <w:rPr>
          <w:rFonts w:ascii="Times New Roman" w:eastAsia="Times New Roman" w:hAnsi="Times New Roman" w:cs="Times New Roman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аложены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большие </w:t>
      </w:r>
      <w:r>
        <w:rPr>
          <w:rFonts w:ascii="Times New Roman" w:eastAsia="Times New Roman" w:hAnsi="Times New Roman" w:cs="Times New Roman"/>
          <w:sz w:val="24"/>
          <w:szCs w:val="24"/>
        </w:rPr>
        <w:t>коррупционные риски.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Рекомендуется расписать критерии включения в список.</w:t>
      </w:r>
    </w:p>
    <w:p w14:paraId="0568962A" w14:textId="68518226" w:rsidR="00A22DA3" w:rsidRDefault="00A22DA3" w:rsidP="00A22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5.19 содержится перечень причин, по которым граждане снимаются с учета. Подпункт 5 гласит, что гражданин снимается с учета «при получении информации о лишении свободы». Нужно указать конкретный срок лишения свободы: год, два или больше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то 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люди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каким сроком лишения свободы будут выведены со списка.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ли лишение свободы на полгода быть основанием снятия с учета?</w:t>
      </w:r>
    </w:p>
    <w:p w14:paraId="3254E234" w14:textId="30960464" w:rsidR="00A22DA3" w:rsidRDefault="00A22DA3" w:rsidP="00A22DA3">
      <w:pPr>
        <w:numPr>
          <w:ilvl w:val="0"/>
          <w:numId w:val="3"/>
        </w:numPr>
        <w:tabs>
          <w:tab w:val="left" w:pos="1119"/>
        </w:tabs>
        <w:spacing w:before="240" w:after="240" w:line="257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пункте 5.23 не указано, по каким критерия и условиям комиссия отказывает в предоставлении жилья</w:t>
      </w:r>
      <w:r w:rsidR="008A6A92">
        <w:rPr>
          <w:rFonts w:ascii="Times New Roman" w:eastAsia="Times New Roman" w:hAnsi="Times New Roman" w:cs="Times New Roman"/>
          <w:sz w:val="24"/>
          <w:szCs w:val="24"/>
        </w:rPr>
        <w:t>. Рекомендуется прописать причины отказа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0" w14:textId="77777777" w:rsidR="00C228ED" w:rsidRPr="008A6A92" w:rsidRDefault="00933C7A" w:rsidP="008A6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A92">
        <w:rPr>
          <w:rFonts w:ascii="Times New Roman" w:eastAsia="Times New Roman" w:hAnsi="Times New Roman" w:cs="Times New Roman"/>
          <w:sz w:val="24"/>
          <w:szCs w:val="24"/>
        </w:rPr>
        <w:t>Согласно статье 22 части 5 Жилищного Кодекса КР: «Собственник жилого или нежилого помещения многоквартирного дома не может отчуждать свою долю в общем имуществе, а также совершать иные де</w:t>
      </w:r>
      <w:r w:rsidRPr="008A6A92">
        <w:rPr>
          <w:rFonts w:ascii="Times New Roman" w:eastAsia="Times New Roman" w:hAnsi="Times New Roman" w:cs="Times New Roman"/>
          <w:sz w:val="24"/>
          <w:szCs w:val="24"/>
        </w:rPr>
        <w:t>йствия, влекущие передачу этой доли отдельно от права собственности на жилое или нежилое помещение». Отсюда следует, что мэрия, будучи собственником многоквартирного дома, не вправе отчуждать общедомовое имущество отдельно от жилых и/или нежилых помещений.</w:t>
      </w:r>
      <w:r w:rsidRPr="008A6A92">
        <w:rPr>
          <w:rFonts w:ascii="Times New Roman" w:eastAsia="Times New Roman" w:hAnsi="Times New Roman" w:cs="Times New Roman"/>
          <w:sz w:val="24"/>
          <w:szCs w:val="24"/>
        </w:rPr>
        <w:t xml:space="preserve"> На этом основании, пункт о продаже иного имущества многоквартирного дома, составляющего общедомовое имущество, противоречит Жилищному Кодексу, а также статьям 246, 247 Гражданского Кодекса КР, которые повторяют вышеуказанные нормы Жилищного Кодекса КР. Од</w:t>
      </w:r>
      <w:r w:rsidRPr="008A6A92">
        <w:rPr>
          <w:rFonts w:ascii="Times New Roman" w:eastAsia="Times New Roman" w:hAnsi="Times New Roman" w:cs="Times New Roman"/>
          <w:sz w:val="24"/>
          <w:szCs w:val="24"/>
        </w:rPr>
        <w:t>нако, до полного выкупа покупателем жилья, предоставляемого Уполномоченным органом на ипотечных условиях, Уполномоченный орган вправе предоставить парковочное помещение в пользование. В связи с этим, мы рекомендуем в части 7 проекта Положения обязательно о</w:t>
      </w:r>
      <w:r w:rsidRPr="008A6A92">
        <w:rPr>
          <w:rFonts w:ascii="Times New Roman" w:eastAsia="Times New Roman" w:hAnsi="Times New Roman" w:cs="Times New Roman"/>
          <w:sz w:val="24"/>
          <w:szCs w:val="24"/>
        </w:rPr>
        <w:t xml:space="preserve">говорить, что парковочные места могут быть предоставлены лишь жителям многоквартирного дома, которые приобрели жилье на условиях ипотеки. </w:t>
      </w:r>
      <w:proofErr w:type="gramStart"/>
      <w:r w:rsidRPr="008A6A92">
        <w:rPr>
          <w:rFonts w:ascii="Times New Roman" w:eastAsia="Times New Roman" w:hAnsi="Times New Roman" w:cs="Times New Roman"/>
          <w:sz w:val="24"/>
          <w:szCs w:val="24"/>
        </w:rPr>
        <w:t>В противном случае,</w:t>
      </w:r>
      <w:proofErr w:type="gramEnd"/>
      <w:r w:rsidRPr="008A6A9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парковочных мест иным лицам будет противоречить жилищному законодательству КР;</w:t>
      </w:r>
    </w:p>
    <w:p w14:paraId="00000011" w14:textId="77777777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7.2. проекта Положения не конкретизирует, что понимается под иным имуществом помимо парковочных мест, при этом, указывая, что понятие «иное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имущество» не ограничивается понятиями «подземный паркинг» и «коммерческие помещения». Перечень иного имущества в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понимании рассматриваемого Положения должен быть исчерпывающим;</w:t>
      </w:r>
    </w:p>
    <w:p w14:paraId="00000012" w14:textId="77777777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соблюдения исключительного права жителей многоквартирного дома, указанного выше, на подземный паркинг, необходимо в пункте 7.3. указать, что аукцион на предоставление в пользование парково</w:t>
      </w:r>
      <w:r>
        <w:rPr>
          <w:rFonts w:ascii="Times New Roman" w:eastAsia="Times New Roman" w:hAnsi="Times New Roman" w:cs="Times New Roman"/>
          <w:sz w:val="24"/>
          <w:szCs w:val="24"/>
        </w:rPr>
        <w:t>чных мест должен проводиться лишь после ввода многоквартирного дома в эксплуатацию и полного его заселения;</w:t>
      </w:r>
    </w:p>
    <w:p w14:paraId="00000013" w14:textId="77777777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пункте 7.4 Положения говорится о конкурсе, при этом, нигде выше и дальше в тексте понятие «конкурс» не встречается. В связи с этим, предлагаем сло</w:t>
      </w:r>
      <w:r>
        <w:rPr>
          <w:rFonts w:ascii="Times New Roman" w:eastAsia="Times New Roman" w:hAnsi="Times New Roman" w:cs="Times New Roman"/>
          <w:sz w:val="24"/>
          <w:szCs w:val="24"/>
        </w:rPr>
        <w:t>во «конкурс» исключить. Если же речь идет об аукционе, то нужно слов «конкурс» заменить на «аукцион»; Использование двух понятий закладывает определенные коррупционные риски.</w:t>
      </w:r>
    </w:p>
    <w:p w14:paraId="00000014" w14:textId="77777777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пункта явствует, что аукцион будет проходить в электронном формате, однако,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на какой электронной платформе он будет проходить и есть ли у Уполномоченного органа соответствующая техническая база для его проведения.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связи с чем,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предлагаем расписать процедуру проведения аукциона в электронном формате. Либо же исключит</w:t>
      </w:r>
      <w:r>
        <w:rPr>
          <w:rFonts w:ascii="Times New Roman" w:eastAsia="Times New Roman" w:hAnsi="Times New Roman" w:cs="Times New Roman"/>
          <w:sz w:val="24"/>
          <w:szCs w:val="24"/>
        </w:rPr>
        <w:t>ь слово «электронный»;</w:t>
      </w:r>
    </w:p>
    <w:p w14:paraId="00000015" w14:textId="78694886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избежание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</w:t>
      </w:r>
      <w:r w:rsidR="008A6A92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граждан дополнительных средств за лишние банковские услуги и операции, предлагаем в пункте 8.2.3. указать все банковские услуги необходимые при заключении договора и указать их тарификацию;</w:t>
      </w:r>
    </w:p>
    <w:p w14:paraId="00000017" w14:textId="01E231F8" w:rsidR="00C228ED" w:rsidRPr="00D54A34" w:rsidRDefault="00933C7A" w:rsidP="00D54A34">
      <w:pPr>
        <w:numPr>
          <w:ilvl w:val="0"/>
          <w:numId w:val="3"/>
        </w:numP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пункте 9.2. говор</w:t>
      </w:r>
      <w:r>
        <w:rPr>
          <w:rFonts w:ascii="Times New Roman" w:eastAsia="Times New Roman" w:hAnsi="Times New Roman" w:cs="Times New Roman"/>
          <w:sz w:val="24"/>
          <w:szCs w:val="24"/>
        </w:rPr>
        <w:t>ится, что Комиссия по распределению квартир периодически осуществляет вс</w:t>
      </w:r>
      <w:r>
        <w:rPr>
          <w:rFonts w:ascii="Times New Roman" w:eastAsia="Times New Roman" w:hAnsi="Times New Roman" w:cs="Times New Roman"/>
          <w:sz w:val="24"/>
          <w:szCs w:val="24"/>
        </w:rPr>
        <w:t>ю деятельность, при этом, не уточняются точные временные рамки, в течение которых комиссия собирается для решения вопросов, указанных в положении. Мы предлагаем указать конкретную пер</w:t>
      </w:r>
      <w:r>
        <w:rPr>
          <w:rFonts w:ascii="Times New Roman" w:eastAsia="Times New Roman" w:hAnsi="Times New Roman" w:cs="Times New Roman"/>
          <w:sz w:val="24"/>
          <w:szCs w:val="24"/>
        </w:rPr>
        <w:t>иодичность, с которой будет осуществлять свою деятельность Комиссия</w:t>
      </w:r>
      <w:r w:rsidR="008F28AE">
        <w:rPr>
          <w:rFonts w:ascii="Times New Roman" w:eastAsia="Times New Roman" w:hAnsi="Times New Roman" w:cs="Times New Roman"/>
          <w:sz w:val="24"/>
          <w:szCs w:val="24"/>
        </w:rPr>
        <w:t xml:space="preserve"> и срок действия членов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этой связи,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предлагаем </w:t>
      </w:r>
      <w:r w:rsidR="00D54A34">
        <w:rPr>
          <w:rFonts w:ascii="Times New Roman" w:eastAsia="Times New Roman" w:hAnsi="Times New Roman" w:cs="Times New Roman"/>
          <w:sz w:val="24"/>
          <w:szCs w:val="24"/>
        </w:rPr>
        <w:t xml:space="preserve">в вопросах периодичности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руководствоваться Законом КР от 31 июля 2015 года № 210</w:t>
      </w:r>
      <w:r w:rsidR="00D54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A34">
        <w:rPr>
          <w:rFonts w:ascii="Times New Roman" w:eastAsia="Times New Roman" w:hAnsi="Times New Roman" w:cs="Times New Roman"/>
          <w:sz w:val="24"/>
          <w:szCs w:val="24"/>
        </w:rPr>
        <w:t>«Об основах административной деятельности и административных процедурах», согласно которому, срок админ</w:t>
      </w:r>
      <w:r w:rsidRPr="00D54A34">
        <w:rPr>
          <w:rFonts w:ascii="Times New Roman" w:eastAsia="Times New Roman" w:hAnsi="Times New Roman" w:cs="Times New Roman"/>
          <w:sz w:val="24"/>
          <w:szCs w:val="24"/>
        </w:rPr>
        <w:t>истративной процедуры, учитывая все возможные продления, не должен превышать 2-х месяцев со дня подачи гражданином заявления и принятием решения должностным органом;</w:t>
      </w:r>
    </w:p>
    <w:p w14:paraId="00000018" w14:textId="77777777" w:rsidR="00C228ED" w:rsidRDefault="00933C7A" w:rsidP="00A22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часть 9 Положения процедурой отбора членов Комиссии, а также условиями ее формирования и роспуска;</w:t>
      </w:r>
    </w:p>
    <w:p w14:paraId="00000019" w14:textId="77777777" w:rsidR="00C228ED" w:rsidRDefault="00933C7A" w:rsidP="00A22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9.4. Положения поясняет кто из кого должна состоять Комиссия по предоставлению льготного жиль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условия ипотеки. Так, в положении сказано,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 комиссии должны состоять «6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Так, согласно закону КР «О местном самоуправлении КР» представительными органами в городах являются городские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городе Ош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Закон КР «О местном самоупр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авлении КР» и Регламент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четко разграничивает и обозначает функции депутатов, и среди этих функций нет функции участия в работе органов исполнительной власти местного самоуправления. Напомню, согласно принципам правового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государства, существует четкое разделение власти на 3 ветви – законодательную (представительную), исполнительную и судебную. Не допускается какого-либо вмешательства одной ветви в работу другой. Помимо этого, одной из функций представительной ветви власти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нашем случае городского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контроль за деятельностью исполнительной власти. В пункте. Далее в Положении говорится, что Комиссия подотчетна мэрии города Ош, но как при этом, в комиссию будут входить депутаты городского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тогда как мэрия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своей деятельности отчитывается перед ними? Часть 3 статьи 22 Закона «О местном самоуправлении КР» четко гласит: «Депутат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использовать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свой депутатский мандат в целях, не связанных с депутатской деятельностью». В этом случае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усматриваться конфликт интересов. Поэтому мы настоятельно рекомендуем из обязательных членов комиссии исключить представителей представительных органов местного самоуправления.</w:t>
      </w:r>
    </w:p>
    <w:p w14:paraId="0000001A" w14:textId="77777777" w:rsidR="00C228ED" w:rsidRDefault="00933C7A" w:rsidP="00A22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относительно состава Комиссии мы рекомендуем следующее: исключить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 СМИ, исключить секретаря, так как данный член Комиссии не обладает правом голоса и выполняет лишь технические функции в работе Комиссии, увеличить представленность гражданского сектора до 70% членов Комиссии, то есть, до 7-8 человек, четко 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значить, кто подразумевался под «территориальным правоохранителем» или заменить его на представителя прокуратуры города Ош;</w:t>
      </w:r>
    </w:p>
    <w:p w14:paraId="0000001B" w14:textId="77777777" w:rsidR="00C228ED" w:rsidRDefault="00933C7A" w:rsidP="00A22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Вдобавок ко всему, рекомендуем расписать в Положении процедуры цессии, а именно передачи права на жилье покупателем, не выплатившим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всю сумму ипотечного кредита, но намеренного проживать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жилье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приобретенном на условиях ипотеке;</w:t>
      </w:r>
    </w:p>
    <w:p w14:paraId="0000001C" w14:textId="77777777" w:rsidR="00C228ED" w:rsidRDefault="00933C7A" w:rsidP="00A22D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в Положении необходимо указать в каком состоянии передается жилье покупателю: под черновую или чистовую отделку;</w:t>
      </w:r>
    </w:p>
    <w:p w14:paraId="0000001D" w14:textId="77777777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before="240" w:after="240" w:line="257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главе 3 Уполномоченный орган мэрии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нет информации будет ли создаваться новый орган или функции и полномочия будут возложены на уже существующий и из каких источников будет финансироваться деятельность данного органа;</w:t>
      </w:r>
    </w:p>
    <w:p w14:paraId="00000020" w14:textId="77777777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before="240" w:after="240" w:line="257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Пунктом 13.6. указывается, что Мэрия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издавать НПА, обязательные для исполнения сторонами.   Однако, хотим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обратить  внимание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следующее: в соответствии со статьей 84 Закона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«О залоге»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случаях, когда 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заключения договора законодательством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устанавливаются новые правила, изменяющие договорные права залогодателя и/или залогодержателя, условия заключенного договора о залоге сохраняют силу без изменений на весь срок его действия, есл</w:t>
      </w:r>
      <w:r>
        <w:rPr>
          <w:rFonts w:ascii="Times New Roman" w:eastAsia="Times New Roman" w:hAnsi="Times New Roman" w:cs="Times New Roman"/>
          <w:sz w:val="24"/>
          <w:szCs w:val="24"/>
        </w:rPr>
        <w:t>и иное не предусмотрено соглашением сторон. В случае принятия государственными органами, органами местного самоуправления или их должностными лицами решений, нарушающих права залогодержателя по владению, пользованию и распоряжению предметом залога, то таки</w:t>
      </w:r>
      <w:r>
        <w:rPr>
          <w:rFonts w:ascii="Times New Roman" w:eastAsia="Times New Roman" w:hAnsi="Times New Roman" w:cs="Times New Roman"/>
          <w:sz w:val="24"/>
          <w:szCs w:val="24"/>
        </w:rPr>
        <w:t>е решения признаются судом незаконными по иску залогодержателя. Предлагаем убрать этот пункт или внести изменения в формулировку.</w:t>
      </w:r>
    </w:p>
    <w:p w14:paraId="00000021" w14:textId="18B05DEB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before="240" w:after="240" w:line="257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сайте Министерства юстиции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опубликовано постановление ХII сессии III созыва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“Об утверждении Положения “О выделении жилья на условиях ипотечного кредитования в городе Ош”” от 19 ноября 2014 года № 230, утратит ли силу это постановление с принятием нового Положения?;</w:t>
      </w:r>
      <w:r w:rsidR="00D54A34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A77B55">
        <w:rPr>
          <w:rFonts w:ascii="Times New Roman" w:eastAsia="Times New Roman" w:hAnsi="Times New Roman" w:cs="Times New Roman"/>
          <w:sz w:val="24"/>
          <w:szCs w:val="24"/>
        </w:rPr>
        <w:t>предыдущее положение утратило силу, то прописать это в проекте данного НПА.</w:t>
      </w:r>
    </w:p>
    <w:p w14:paraId="00000022" w14:textId="77777777" w:rsidR="00C228ED" w:rsidRDefault="00933C7A" w:rsidP="00A22DA3">
      <w:pPr>
        <w:numPr>
          <w:ilvl w:val="0"/>
          <w:numId w:val="3"/>
        </w:numPr>
        <w:tabs>
          <w:tab w:val="left" w:pos="1119"/>
        </w:tabs>
        <w:spacing w:before="240" w:after="240" w:line="257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проекте необходимо определить порядок и сроки обжалования дейст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вий уполномоченного органа и решения комиссии при отказе в предоставлении жилья. В соответствии со статьей 61 Закона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«Об основах административной деятельности и административных процедурах» заявитель и заинтересованное лицо имеют прав</w:t>
      </w:r>
      <w:r>
        <w:rPr>
          <w:rFonts w:ascii="Times New Roman" w:eastAsia="Times New Roman" w:hAnsi="Times New Roman" w:cs="Times New Roman"/>
          <w:sz w:val="24"/>
          <w:szCs w:val="24"/>
        </w:rPr>
        <w:t>о с целью защиты своих прав обжаловать административные акты, действие или бездействие административного органа;</w:t>
      </w:r>
    </w:p>
    <w:p w14:paraId="00000023" w14:textId="77777777" w:rsidR="00C228ED" w:rsidRDefault="00933C7A" w:rsidP="00A22DA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проекте положения не прописан порядок налогообложения. То есть, неясно, кто несет налоговое бремя продавец или 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покупатель?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proofErr w:type="gramEnd"/>
    </w:p>
    <w:p w14:paraId="00000024" w14:textId="77777777" w:rsidR="00C228ED" w:rsidRDefault="00933C7A" w:rsidP="00A22DA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прозрачности, в Положении необходимо предусмотреть финансовый контроль за деятельностью Комиссии, который будет производиться на ежегодной основе, с опубликованием результатов на официальном сайте мэрии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5" w14:textId="77777777" w:rsidR="00C228ED" w:rsidRDefault="00933C7A" w:rsidP="00A22DA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Поскольку до полной выплаты ипотечного кредит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жилья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юридическим собственником является Продавец (уполномоченный орган), необходимо отразить в Положении, что Уполномоченный орган (Продавец) несет ответственность за техническое обслуживание многоквартирного дома;</w:t>
      </w:r>
    </w:p>
    <w:p w14:paraId="162885F3" w14:textId="77777777" w:rsidR="00A77B55" w:rsidRDefault="00933C7A" w:rsidP="00A77B5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Поскольку процесс предоставления жи</w:t>
      </w:r>
      <w:r>
        <w:rPr>
          <w:rFonts w:ascii="Times New Roman" w:eastAsia="Times New Roman" w:hAnsi="Times New Roman" w:cs="Times New Roman"/>
          <w:sz w:val="24"/>
          <w:szCs w:val="24"/>
        </w:rPr>
        <w:t>лья на ипотечных условиях строится на договорных обязательствах, наряду с Положением необходимо разработать и предоставить для экспертизы типовой договор о предоставлении жилья на ипотечных условиях. Это даст возможность оценить все возможное риски,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встаю</w:t>
      </w:r>
      <w:r w:rsidR="00A77B5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приобретателем жилья.</w:t>
      </w:r>
    </w:p>
    <w:p w14:paraId="514DD3EA" w14:textId="77777777" w:rsidR="00A77B55" w:rsidRDefault="00A77B55" w:rsidP="00A77B5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2BA76EAE" w:rsidR="00C228ED" w:rsidRPr="00A77B55" w:rsidRDefault="00A77B55" w:rsidP="00A77B5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B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33C7A" w:rsidRPr="00A77B55">
        <w:rPr>
          <w:rFonts w:ascii="Times New Roman" w:eastAsia="Times New Roman" w:hAnsi="Times New Roman" w:cs="Times New Roman"/>
          <w:sz w:val="24"/>
          <w:szCs w:val="24"/>
        </w:rPr>
        <w:t>читывая все вышеуказанные замечания и рекомендации, основанные на выявленных недостатках и законодательных противоречиях, мы считаем, что настоящий проект Положения о выдачи жилья на условиях ипотеки в обязательном порядке должен быть пересмотрен и дорабо</w:t>
      </w:r>
      <w:r w:rsidR="00933C7A" w:rsidRPr="00A77B55">
        <w:rPr>
          <w:rFonts w:ascii="Times New Roman" w:eastAsia="Times New Roman" w:hAnsi="Times New Roman" w:cs="Times New Roman"/>
          <w:sz w:val="24"/>
          <w:szCs w:val="24"/>
        </w:rPr>
        <w:t>тан с учетом наших рекомендаций.</w:t>
      </w:r>
    </w:p>
    <w:sectPr w:rsidR="00C228ED" w:rsidRPr="00A77B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B076B"/>
    <w:multiLevelType w:val="multilevel"/>
    <w:tmpl w:val="A20C2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06A64"/>
    <w:multiLevelType w:val="multilevel"/>
    <w:tmpl w:val="BA3E9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754B57"/>
    <w:multiLevelType w:val="multilevel"/>
    <w:tmpl w:val="BA3E9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D"/>
    <w:rsid w:val="008A6A92"/>
    <w:rsid w:val="008F28AE"/>
    <w:rsid w:val="00933C7A"/>
    <w:rsid w:val="00A22DA3"/>
    <w:rsid w:val="00A77B55"/>
    <w:rsid w:val="00C228ED"/>
    <w:rsid w:val="00D54A34"/>
    <w:rsid w:val="00E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19D76"/>
  <w15:docId w15:val="{9D0DF246-2742-4F46-A0BA-A34E6F55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0206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+PsUzodePIjOznLdiSAskM/wug==">AMUW2mX2j+z/ydEca6GISJjXXpWaiuQ3Ai5rUcPnY+Xc3sb/RnRriYLY0tWmnw49SCW/zb17vrjBw7p/OFIfCzmdBUfGI3eIqRq3Wuw7p85mWjJclPfXJJ6LQY4sR/v0A8U+iOb7eEec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NOORI</dc:creator>
  <cp:lastModifiedBy>Almazuulu Askar</cp:lastModifiedBy>
  <cp:revision>2</cp:revision>
  <dcterms:created xsi:type="dcterms:W3CDTF">2021-09-27T06:50:00Z</dcterms:created>
  <dcterms:modified xsi:type="dcterms:W3CDTF">2021-09-27T06:50:00Z</dcterms:modified>
</cp:coreProperties>
</file>